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default" w:ascii="Times New Roman" w:hAnsi="Times New Roman" w:eastAsia="方正小标宋简体" w:cs="Times New Roman"/>
          <w:i w:val="0"/>
          <w:caps w:val="0"/>
          <w:color w:val="000000"/>
          <w:spacing w:val="0"/>
          <w:sz w:val="40"/>
          <w:szCs w:val="40"/>
          <w:shd w:val="clear" w:fill="FFFFFF"/>
          <w:lang w:val="en-US" w:eastAsia="zh-CN"/>
        </w:rPr>
      </w:pPr>
      <w:bookmarkStart w:id="0" w:name="OLE_LINK5"/>
      <w:bookmarkStart w:id="1" w:name="OLE_LINK4"/>
      <w:bookmarkStart w:id="2" w:name="OLE_LINK3"/>
      <w:bookmarkStart w:id="3" w:name="OLE_LINK2"/>
      <w:r>
        <w:rPr>
          <w:rFonts w:hint="default" w:ascii="Times New Roman" w:hAnsi="Times New Roman" w:eastAsia="方正小标宋简体" w:cs="Times New Roman"/>
          <w:i w:val="0"/>
          <w:caps w:val="0"/>
          <w:color w:val="000000"/>
          <w:spacing w:val="0"/>
          <w:sz w:val="44"/>
          <w:szCs w:val="44"/>
          <w:shd w:val="clear" w:fill="FFFFFF"/>
          <w:lang w:val="en-US" w:eastAsia="zh-CN"/>
        </w:rPr>
        <w:t>淮北市退役军人事务局2024年政府信息公开工作年度报告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default" w:ascii="Times New Roman" w:hAnsi="Times New Roman" w:eastAsia="方正小标宋简体" w:cs="Times New Roman"/>
          <w:i w:val="0"/>
          <w:caps w:val="0"/>
          <w:color w:val="000000"/>
          <w:spacing w:val="0"/>
          <w:sz w:val="40"/>
          <w:szCs w:val="4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w:t>
      </w:r>
      <w:bookmarkStart w:id="4" w:name="OLE_LINK1"/>
      <w:r>
        <w:rPr>
          <w:rFonts w:hint="default" w:ascii="Times New Roman" w:hAnsi="Times New Roman" w:eastAsia="方正仿宋_GBK" w:cs="Times New Roman"/>
          <w:i w:val="0"/>
          <w:caps w:val="0"/>
          <w:color w:val="000000"/>
          <w:spacing w:val="0"/>
          <w:sz w:val="32"/>
          <w:szCs w:val="32"/>
          <w:shd w:val="clear" w:fill="FFFFFF"/>
        </w:rPr>
        <w:t>《中华人民共和国政府信息公开条例》</w:t>
      </w:r>
      <w:bookmarkEnd w:id="4"/>
      <w:r>
        <w:rPr>
          <w:rFonts w:hint="default" w:ascii="Times New Roman" w:hAnsi="Times New Roman" w:eastAsia="方正仿宋_GBK" w:cs="Times New Roman"/>
          <w:i w:val="0"/>
          <w:caps w:val="0"/>
          <w:color w:val="000000"/>
          <w:spacing w:val="0"/>
          <w:sz w:val="32"/>
          <w:szCs w:val="32"/>
          <w:shd w:val="clear" w:fill="FFFFFF"/>
        </w:rPr>
        <w:t>（国务院令第711号）规定和《国务院办公厅政府信息与政务公开办公室关于印发〈中华人民共和国政府信息公开工作年度报告格式〉的通知》（国办公开办函〔2021〕30号）要求，编制本年度报告。本报告中所列数据的统计期限自</w:t>
      </w:r>
      <w:r>
        <w:rPr>
          <w:rFonts w:hint="default" w:ascii="Times New Roman" w:hAnsi="Times New Roman" w:eastAsia="宋体" w:cs="Times New Roman"/>
          <w:i w:val="0"/>
          <w:caps w:val="0"/>
          <w:color w:val="000000"/>
          <w:spacing w:val="0"/>
          <w:sz w:val="32"/>
          <w:szCs w:val="32"/>
          <w:shd w:val="clear" w:fill="FFFFFF"/>
        </w:rPr>
        <w:t>2024</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宋体" w:cs="Times New Roman"/>
          <w:i w:val="0"/>
          <w:caps w:val="0"/>
          <w:color w:val="000000"/>
          <w:spacing w:val="0"/>
          <w:sz w:val="32"/>
          <w:szCs w:val="32"/>
          <w:shd w:val="clear" w:fill="FFFFFF"/>
        </w:rPr>
        <w:t>1</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宋体" w:cs="Times New Roman"/>
          <w:i w:val="0"/>
          <w:caps w:val="0"/>
          <w:color w:val="000000"/>
          <w:spacing w:val="0"/>
          <w:sz w:val="32"/>
          <w:szCs w:val="32"/>
          <w:shd w:val="clear" w:fill="FFFFFF"/>
        </w:rPr>
        <w:t>1</w:t>
      </w:r>
      <w:r>
        <w:rPr>
          <w:rFonts w:hint="default" w:ascii="Times New Roman" w:hAnsi="Times New Roman" w:eastAsia="方正仿宋_GBK" w:cs="Times New Roman"/>
          <w:i w:val="0"/>
          <w:caps w:val="0"/>
          <w:color w:val="000000"/>
          <w:spacing w:val="0"/>
          <w:sz w:val="32"/>
          <w:szCs w:val="32"/>
          <w:shd w:val="clear" w:fill="FFFFFF"/>
        </w:rPr>
        <w:t>日起至</w:t>
      </w:r>
      <w:r>
        <w:rPr>
          <w:rFonts w:hint="default" w:ascii="Times New Roman" w:hAnsi="Times New Roman" w:eastAsia="宋体" w:cs="Times New Roman"/>
          <w:i w:val="0"/>
          <w:caps w:val="0"/>
          <w:color w:val="000000"/>
          <w:spacing w:val="0"/>
          <w:sz w:val="32"/>
          <w:szCs w:val="32"/>
          <w:shd w:val="clear" w:fill="FFFFFF"/>
        </w:rPr>
        <w:t>2024</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宋体" w:cs="Times New Roman"/>
          <w:i w:val="0"/>
          <w:caps w:val="0"/>
          <w:color w:val="000000"/>
          <w:spacing w:val="0"/>
          <w:sz w:val="32"/>
          <w:szCs w:val="32"/>
          <w:shd w:val="clear" w:fill="FFFFFF"/>
        </w:rPr>
        <w:t>12</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宋体" w:cs="Times New Roman"/>
          <w:i w:val="0"/>
          <w:caps w:val="0"/>
          <w:color w:val="000000"/>
          <w:spacing w:val="0"/>
          <w:sz w:val="32"/>
          <w:szCs w:val="32"/>
          <w:shd w:val="clear" w:fill="FFFFFF"/>
        </w:rPr>
        <w:t>31</w:t>
      </w:r>
      <w:r>
        <w:rPr>
          <w:rFonts w:hint="default" w:ascii="Times New Roman" w:hAnsi="Times New Roman" w:eastAsia="方正仿宋_GBK" w:cs="Times New Roman"/>
          <w:i w:val="0"/>
          <w:caps w:val="0"/>
          <w:color w:val="000000"/>
          <w:spacing w:val="0"/>
          <w:sz w:val="32"/>
          <w:szCs w:val="32"/>
          <w:shd w:val="clear" w:fill="FFFFFF"/>
        </w:rPr>
        <w:t>日止。如对本报告有任何疑问，请与</w:t>
      </w:r>
      <w:r>
        <w:rPr>
          <w:rFonts w:hint="default" w:ascii="Times New Roman" w:hAnsi="Times New Roman" w:eastAsia="方正仿宋_GBK" w:cs="Times New Roman"/>
          <w:i w:val="0"/>
          <w:caps w:val="0"/>
          <w:color w:val="000000"/>
          <w:spacing w:val="0"/>
          <w:sz w:val="32"/>
          <w:szCs w:val="32"/>
          <w:shd w:val="clear" w:fill="FFFFFF"/>
          <w:lang w:eastAsia="zh-CN"/>
        </w:rPr>
        <w:t>淮北市退役军人事务局</w:t>
      </w:r>
      <w:r>
        <w:rPr>
          <w:rFonts w:hint="default" w:ascii="Times New Roman" w:hAnsi="Times New Roman" w:eastAsia="方正仿宋_GBK" w:cs="Times New Roman"/>
          <w:i w:val="0"/>
          <w:caps w:val="0"/>
          <w:color w:val="000000"/>
          <w:spacing w:val="0"/>
          <w:sz w:val="32"/>
          <w:szCs w:val="32"/>
          <w:shd w:val="clear" w:fill="FFFFFF"/>
        </w:rPr>
        <w:t>联系（地址：淮北市</w:t>
      </w:r>
      <w:r>
        <w:rPr>
          <w:rFonts w:hint="default" w:ascii="Times New Roman" w:hAnsi="Times New Roman" w:eastAsia="方正仿宋_GBK" w:cs="Times New Roman"/>
          <w:i w:val="0"/>
          <w:caps w:val="0"/>
          <w:color w:val="000000"/>
          <w:spacing w:val="0"/>
          <w:sz w:val="32"/>
          <w:szCs w:val="32"/>
          <w:shd w:val="clear" w:fill="FFFFFF"/>
          <w:lang w:eastAsia="zh-CN"/>
        </w:rPr>
        <w:t>人民中路</w:t>
      </w:r>
      <w:r>
        <w:rPr>
          <w:rFonts w:hint="default" w:ascii="Times New Roman" w:hAnsi="Times New Roman" w:eastAsia="方正仿宋_GBK" w:cs="Times New Roman"/>
          <w:i w:val="0"/>
          <w:caps w:val="0"/>
          <w:color w:val="000000"/>
          <w:spacing w:val="0"/>
          <w:sz w:val="32"/>
          <w:szCs w:val="32"/>
          <w:shd w:val="clear" w:fill="FFFFFF"/>
          <w:lang w:val="en-US" w:eastAsia="zh-CN"/>
        </w:rPr>
        <w:t>189</w:t>
      </w:r>
      <w:r>
        <w:rPr>
          <w:rFonts w:hint="default" w:ascii="Times New Roman" w:hAnsi="Times New Roman" w:eastAsia="方正仿宋_GBK" w:cs="Times New Roman"/>
          <w:i w:val="0"/>
          <w:caps w:val="0"/>
          <w:color w:val="000000"/>
          <w:spacing w:val="0"/>
          <w:sz w:val="32"/>
          <w:szCs w:val="32"/>
          <w:shd w:val="clear" w:fill="FFFFFF"/>
        </w:rPr>
        <w:t>号淮北市</w:t>
      </w:r>
      <w:r>
        <w:rPr>
          <w:rFonts w:hint="default" w:ascii="Times New Roman" w:hAnsi="Times New Roman" w:eastAsia="方正仿宋_GBK" w:cs="Times New Roman"/>
          <w:i w:val="0"/>
          <w:caps w:val="0"/>
          <w:color w:val="000000"/>
          <w:spacing w:val="0"/>
          <w:sz w:val="32"/>
          <w:szCs w:val="32"/>
          <w:shd w:val="clear" w:fill="FFFFFF"/>
          <w:lang w:eastAsia="zh-CN"/>
        </w:rPr>
        <w:t>退役军人事务局</w:t>
      </w:r>
      <w:r>
        <w:rPr>
          <w:rFonts w:hint="default" w:ascii="Times New Roman" w:hAnsi="Times New Roman" w:eastAsia="方正仿宋_GBK" w:cs="Times New Roman"/>
          <w:i w:val="0"/>
          <w:caps w:val="0"/>
          <w:color w:val="000000"/>
          <w:spacing w:val="0"/>
          <w:sz w:val="32"/>
          <w:szCs w:val="32"/>
          <w:shd w:val="clear" w:fill="FFFFFF"/>
        </w:rPr>
        <w:t>办公室，邮编：235000，电话：0561-3</w:t>
      </w:r>
      <w:r>
        <w:rPr>
          <w:rFonts w:hint="default" w:ascii="Times New Roman" w:hAnsi="Times New Roman" w:eastAsia="方正仿宋_GBK" w:cs="Times New Roman"/>
          <w:i w:val="0"/>
          <w:caps w:val="0"/>
          <w:color w:val="000000"/>
          <w:spacing w:val="0"/>
          <w:sz w:val="32"/>
          <w:szCs w:val="32"/>
          <w:shd w:val="clear" w:fill="FFFFFF"/>
          <w:lang w:val="en-US" w:eastAsia="zh-CN"/>
        </w:rPr>
        <w:t>298006</w:t>
      </w:r>
      <w:r>
        <w:rPr>
          <w:rFonts w:hint="default" w:ascii="Times New Roman" w:hAnsi="Times New Roman" w:eastAsia="方正仿宋_GBK" w:cs="Times New Roman"/>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2024年，</w:t>
      </w:r>
      <w:r>
        <w:rPr>
          <w:rFonts w:hint="default" w:ascii="Times New Roman" w:hAnsi="Times New Roman" w:eastAsia="方正仿宋_GBK" w:cs="Times New Roman"/>
          <w:i w:val="0"/>
          <w:caps w:val="0"/>
          <w:color w:val="000000"/>
          <w:spacing w:val="0"/>
          <w:sz w:val="32"/>
          <w:szCs w:val="32"/>
          <w:shd w:val="clear" w:fill="FFFFFF"/>
          <w:lang w:eastAsia="zh-CN"/>
        </w:rPr>
        <w:t>我局严格</w:t>
      </w:r>
      <w:r>
        <w:rPr>
          <w:rFonts w:hint="default" w:ascii="Times New Roman" w:hAnsi="Times New Roman" w:eastAsia="方正仿宋_GBK" w:cs="Times New Roman"/>
          <w:i w:val="0"/>
          <w:caps w:val="0"/>
          <w:color w:val="000000"/>
          <w:spacing w:val="0"/>
          <w:sz w:val="32"/>
          <w:szCs w:val="32"/>
          <w:shd w:val="clear" w:fill="FFFFFF"/>
        </w:rPr>
        <w:t>按照省、市两级重点工作部署，贯彻落实《淮北市人民政府办公室关于印发2024年政务公开重点工作任务分工的通知》各项重点</w:t>
      </w:r>
      <w:r>
        <w:rPr>
          <w:rFonts w:hint="default" w:ascii="Times New Roman" w:hAnsi="Times New Roman" w:eastAsia="方正仿宋_GBK" w:cs="Times New Roman"/>
          <w:i w:val="0"/>
          <w:caps w:val="0"/>
          <w:color w:val="000000"/>
          <w:spacing w:val="0"/>
          <w:sz w:val="32"/>
          <w:szCs w:val="32"/>
          <w:shd w:val="clear" w:fill="FFFFFF"/>
          <w:lang w:eastAsia="zh-CN"/>
        </w:rPr>
        <w:t>任务</w:t>
      </w:r>
      <w:r>
        <w:rPr>
          <w:rFonts w:hint="default" w:ascii="Times New Roman" w:hAnsi="Times New Roman" w:eastAsia="方正仿宋_GBK" w:cs="Times New Roman"/>
          <w:i w:val="0"/>
          <w:caps w:val="0"/>
          <w:color w:val="000000"/>
          <w:spacing w:val="0"/>
          <w:sz w:val="32"/>
          <w:szCs w:val="32"/>
          <w:shd w:val="clear" w:fill="FFFFFF"/>
        </w:rPr>
        <w:t>，结合我局实际工作情况，</w:t>
      </w:r>
      <w:r>
        <w:rPr>
          <w:rFonts w:hint="eastAsia" w:ascii="Times New Roman" w:hAnsi="Times New Roman" w:eastAsia="方正仿宋_GBK" w:cs="Times New Roman"/>
          <w:i w:val="0"/>
          <w:caps w:val="0"/>
          <w:color w:val="000000"/>
          <w:spacing w:val="0"/>
          <w:sz w:val="32"/>
          <w:szCs w:val="32"/>
          <w:shd w:val="clear" w:fill="FFFFFF"/>
          <w:lang w:eastAsia="zh-CN"/>
        </w:rPr>
        <w:t>编制局本级重点任务清单，</w:t>
      </w:r>
      <w:r>
        <w:rPr>
          <w:rFonts w:hint="default" w:ascii="Times New Roman" w:hAnsi="Times New Roman" w:eastAsia="方正仿宋_GBK" w:cs="Times New Roman"/>
          <w:i w:val="0"/>
          <w:caps w:val="0"/>
          <w:color w:val="000000"/>
          <w:spacing w:val="0"/>
          <w:sz w:val="32"/>
          <w:szCs w:val="32"/>
          <w:shd w:val="clear" w:fill="FFFFFF"/>
          <w:lang w:eastAsia="zh-CN"/>
        </w:rPr>
        <w:t>依法公开各项信息</w:t>
      </w:r>
      <w:r>
        <w:rPr>
          <w:rFonts w:hint="default" w:ascii="Times New Roman" w:hAnsi="Times New Roman" w:eastAsia="方正仿宋_GBK" w:cs="Times New Roman"/>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方正楷体_GBK" w:hAnsi="方正楷体_GBK" w:eastAsia="方正楷体_GBK" w:cs="方正楷体_GBK"/>
          <w:i w:val="0"/>
          <w:caps w:val="0"/>
          <w:color w:val="000000"/>
          <w:spacing w:val="0"/>
          <w:sz w:val="32"/>
          <w:szCs w:val="32"/>
          <w:shd w:val="clear" w:fill="FFFFFF"/>
        </w:rPr>
        <w:t>（一）主动公开</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本年度</w:t>
      </w:r>
      <w:r>
        <w:rPr>
          <w:rFonts w:hint="default" w:ascii="Times New Roman" w:hAnsi="Times New Roman" w:eastAsia="方正仿宋_GBK" w:cs="Times New Roman"/>
          <w:i w:val="0"/>
          <w:caps w:val="0"/>
          <w:color w:val="000000"/>
          <w:spacing w:val="0"/>
          <w:sz w:val="32"/>
          <w:szCs w:val="32"/>
          <w:shd w:val="clear" w:fill="FFFFFF"/>
        </w:rPr>
        <w:t>发布信息</w:t>
      </w:r>
      <w:r>
        <w:rPr>
          <w:rFonts w:hint="default" w:ascii="Times New Roman" w:hAnsi="Times New Roman" w:eastAsia="方正仿宋_GBK" w:cs="Times New Roman"/>
          <w:i w:val="0"/>
          <w:caps w:val="0"/>
          <w:color w:val="000000"/>
          <w:spacing w:val="0"/>
          <w:sz w:val="32"/>
          <w:szCs w:val="32"/>
          <w:shd w:val="clear" w:fill="FFFFFF"/>
          <w:lang w:val="en-US" w:eastAsia="zh-CN"/>
        </w:rPr>
        <w:t>221</w:t>
      </w:r>
      <w:r>
        <w:rPr>
          <w:rFonts w:hint="default" w:ascii="Times New Roman" w:hAnsi="Times New Roman" w:eastAsia="方正仿宋_GBK" w:cs="Times New Roman"/>
          <w:i w:val="0"/>
          <w:caps w:val="0"/>
          <w:color w:val="000000"/>
          <w:spacing w:val="0"/>
          <w:sz w:val="32"/>
          <w:szCs w:val="32"/>
          <w:shd w:val="clear" w:fill="FFFFFF"/>
        </w:rPr>
        <w:t>条。</w:t>
      </w:r>
      <w:r>
        <w:rPr>
          <w:rFonts w:hint="default" w:ascii="Times New Roman" w:hAnsi="Times New Roman" w:eastAsia="方正仿宋_GBK" w:cs="Times New Roman"/>
          <w:i w:val="0"/>
          <w:caps w:val="0"/>
          <w:color w:val="000000"/>
          <w:spacing w:val="0"/>
          <w:sz w:val="32"/>
          <w:szCs w:val="32"/>
          <w:shd w:val="clear" w:fill="FFFFFF"/>
          <w:lang w:val="en-US" w:eastAsia="zh-CN"/>
        </w:rPr>
        <w:t>政策解读8条；召开新闻发布会1次；答复2条人大代表建议，办结率100%，满意度100%；举办“政府开放日”活动1次，依托服务窗口优势，邀请退役军人及现役军人家属群体走进机关，面对面讲解，促进政策落实。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Times New Roman" w:hAnsi="Times New Roman"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（二）依申请公开</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仿宋_GB2312" w:cs="Times New Roman"/>
          <w:sz w:val="32"/>
          <w:szCs w:val="32"/>
          <w:lang w:val="en-US" w:eastAsia="zh-CN"/>
        </w:rPr>
        <w:t>进一步完善依申请公开工作相关制度，细化、优化政府信息依申请公开办事流程，</w:t>
      </w:r>
      <w:r>
        <w:rPr>
          <w:rFonts w:hint="default" w:ascii="Times New Roman" w:hAnsi="Times New Roman" w:eastAsia="方正仿宋_GBK" w:cs="Times New Roman"/>
          <w:i w:val="0"/>
          <w:caps w:val="0"/>
          <w:color w:val="000000"/>
          <w:spacing w:val="0"/>
          <w:sz w:val="32"/>
          <w:szCs w:val="32"/>
          <w:shd w:val="clear" w:fill="FFFFFF"/>
        </w:rPr>
        <w:t>我局2024年</w:t>
      </w:r>
      <w:r>
        <w:rPr>
          <w:rFonts w:hint="default" w:ascii="Times New Roman" w:hAnsi="Times New Roman" w:eastAsia="方正仿宋_GBK" w:cs="Times New Roman"/>
          <w:i w:val="0"/>
          <w:caps w:val="0"/>
          <w:color w:val="000000"/>
          <w:spacing w:val="0"/>
          <w:sz w:val="31"/>
          <w:szCs w:val="31"/>
          <w:shd w:val="clear" w:fill="FFFFFF"/>
        </w:rPr>
        <w:t>共收到依申请公开事项</w:t>
      </w:r>
      <w:r>
        <w:rPr>
          <w:rFonts w:hint="default" w:ascii="Times New Roman" w:hAnsi="Times New Roman" w:eastAsia="宋体" w:cs="Times New Roman"/>
          <w:i w:val="0"/>
          <w:caps w:val="0"/>
          <w:color w:val="000000"/>
          <w:spacing w:val="0"/>
          <w:sz w:val="31"/>
          <w:szCs w:val="31"/>
          <w:shd w:val="clear" w:fill="FFFFFF"/>
        </w:rPr>
        <w:t>1</w:t>
      </w:r>
      <w:r>
        <w:rPr>
          <w:rFonts w:hint="default" w:ascii="Times New Roman" w:hAnsi="Times New Roman" w:eastAsia="方正仿宋_GBK" w:cs="Times New Roman"/>
          <w:i w:val="0"/>
          <w:caps w:val="0"/>
          <w:color w:val="000000"/>
          <w:spacing w:val="0"/>
          <w:sz w:val="31"/>
          <w:szCs w:val="31"/>
          <w:shd w:val="clear" w:fill="FFFFFF"/>
        </w:rPr>
        <w:t>件</w:t>
      </w:r>
      <w:r>
        <w:rPr>
          <w:rFonts w:hint="default" w:ascii="Times New Roman" w:hAnsi="Times New Roman" w:eastAsia="方正仿宋_GBK" w:cs="Times New Roman"/>
          <w:i w:val="0"/>
          <w:caps w:val="0"/>
          <w:color w:val="000000"/>
          <w:spacing w:val="0"/>
          <w:sz w:val="32"/>
          <w:szCs w:val="32"/>
          <w:shd w:val="clear" w:fill="FFFFFF"/>
        </w:rPr>
        <w:t>，办理结果为予以公开</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未产生行政复议</w:t>
      </w:r>
      <w:r>
        <w:rPr>
          <w:rFonts w:hint="default" w:ascii="Times New Roman" w:hAnsi="Times New Roman" w:eastAsia="方正仿宋_GBK" w:cs="Times New Roman"/>
          <w:i w:val="0"/>
          <w:caps w:val="0"/>
          <w:color w:val="000000"/>
          <w:spacing w:val="0"/>
          <w:sz w:val="32"/>
          <w:szCs w:val="32"/>
          <w:shd w:val="clear" w:fill="FFFFFF"/>
          <w:lang w:eastAsia="zh-CN"/>
        </w:rPr>
        <w:t>和</w:t>
      </w:r>
      <w:r>
        <w:rPr>
          <w:rFonts w:hint="default" w:ascii="Times New Roman" w:hAnsi="Times New Roman" w:eastAsia="方正仿宋_GBK" w:cs="Times New Roman"/>
          <w:i w:val="0"/>
          <w:caps w:val="0"/>
          <w:color w:val="000000"/>
          <w:spacing w:val="0"/>
          <w:sz w:val="32"/>
          <w:szCs w:val="32"/>
          <w:shd w:val="clear" w:fill="FFFFFF"/>
        </w:rPr>
        <w:t>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（三）政府信息管理</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本年度我局</w:t>
      </w:r>
      <w:r>
        <w:rPr>
          <w:rFonts w:hint="default" w:ascii="Times New Roman" w:hAnsi="Times New Roman" w:eastAsia="方正仿宋_GBK" w:cs="Times New Roman"/>
          <w:i w:val="0"/>
          <w:caps w:val="0"/>
          <w:color w:val="000000"/>
          <w:spacing w:val="0"/>
          <w:sz w:val="32"/>
          <w:szCs w:val="32"/>
          <w:shd w:val="clear" w:fill="FFFFFF"/>
        </w:rPr>
        <w:t>继续坚持</w:t>
      </w:r>
      <w:r>
        <w:rPr>
          <w:rFonts w:hint="default" w:ascii="Times New Roman" w:hAnsi="Times New Roman" w:eastAsia="方正仿宋_GBK" w:cs="Times New Roman"/>
          <w:i w:val="0"/>
          <w:caps w:val="0"/>
          <w:color w:val="000000"/>
          <w:spacing w:val="0"/>
          <w:sz w:val="32"/>
          <w:szCs w:val="32"/>
          <w:shd w:val="clear" w:fill="FFFFFF"/>
          <w:lang w:eastAsia="zh-CN"/>
        </w:rPr>
        <w:t>主要领导掌舵、分管领导主抓，办公室总牵头，各科室联动配合的</w:t>
      </w:r>
      <w:r>
        <w:rPr>
          <w:rFonts w:hint="default" w:ascii="Times New Roman" w:hAnsi="Times New Roman" w:eastAsia="方正仿宋_GBK" w:cs="Times New Roman"/>
          <w:i w:val="0"/>
          <w:caps w:val="0"/>
          <w:color w:val="000000"/>
          <w:spacing w:val="0"/>
          <w:sz w:val="32"/>
          <w:szCs w:val="32"/>
          <w:shd w:val="clear" w:fill="FFFFFF"/>
        </w:rPr>
        <w:t>政务公开工作机制。常态化开展表述错误、错别字、敏感词检查，针对发现的问题第一时间整改到位，保障发布信息的准确性和规范性。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方正楷体_GBK" w:hAnsi="方正楷体_GBK" w:eastAsia="方正楷体_GBK" w:cs="方正楷体_GBK"/>
          <w:i w:val="0"/>
          <w:caps w:val="0"/>
          <w:color w:val="000000"/>
          <w:spacing w:val="0"/>
          <w:sz w:val="32"/>
          <w:szCs w:val="32"/>
          <w:shd w:val="clear" w:fill="FFFFFF"/>
        </w:rPr>
        <w:t>（四）政府信息公开平台建设</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淮北市退役军人事务局利用政府网站和政务新媒体平台，常态化做好政府信息公开工作，</w:t>
      </w:r>
      <w:r>
        <w:rPr>
          <w:rFonts w:hint="default" w:ascii="Times New Roman" w:hAnsi="Times New Roman" w:eastAsia="方正仿宋_GBK" w:cs="Times New Roman"/>
          <w:i w:val="0"/>
          <w:caps w:val="0"/>
          <w:color w:val="000000"/>
          <w:spacing w:val="0"/>
          <w:sz w:val="32"/>
          <w:szCs w:val="32"/>
          <w:shd w:val="clear" w:fill="FFFFFF"/>
          <w:lang w:val="en-US" w:eastAsia="zh-CN"/>
        </w:rPr>
        <w:t>本年度累计发布信息977条，梳理政务服务事项9条，回复留言办理14次，及时有效回应关切，切实保障</w:t>
      </w:r>
      <w:r>
        <w:rPr>
          <w:rFonts w:hint="default" w:ascii="Times New Roman" w:hAnsi="Times New Roman" w:eastAsia="方正仿宋_GBK" w:cs="Times New Roman"/>
          <w:i w:val="0"/>
          <w:caps w:val="0"/>
          <w:color w:val="000000"/>
          <w:spacing w:val="0"/>
          <w:sz w:val="32"/>
          <w:szCs w:val="32"/>
          <w:shd w:val="clear" w:fill="FFFFFF"/>
        </w:rPr>
        <w:t>人民群众的知情权、表达权、参与权和监督权</w:t>
      </w:r>
      <w:r>
        <w:rPr>
          <w:rFonts w:hint="default" w:ascii="Times New Roman" w:hAnsi="Times New Roman" w:eastAsia="方正仿宋_GBK" w:cs="Times New Roman"/>
          <w:i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lang w:eastAsia="zh-CN"/>
        </w:rPr>
      </w:pPr>
      <w:r>
        <w:rPr>
          <w:rFonts w:hint="eastAsia" w:ascii="方正楷体_GBK" w:hAnsi="方正楷体_GBK" w:eastAsia="方正楷体_GBK" w:cs="方正楷体_GBK"/>
          <w:i w:val="0"/>
          <w:caps w:val="0"/>
          <w:color w:val="000000"/>
          <w:spacing w:val="0"/>
          <w:sz w:val="32"/>
          <w:szCs w:val="32"/>
          <w:shd w:val="clear" w:fill="FFFFFF"/>
        </w:rPr>
        <w:t>（五）监督保障</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本年度我局</w:t>
      </w:r>
      <w:r>
        <w:rPr>
          <w:rFonts w:hint="default" w:ascii="Times New Roman" w:hAnsi="Times New Roman" w:eastAsia="方正仿宋_GBK" w:cs="Times New Roman"/>
          <w:i w:val="0"/>
          <w:caps w:val="0"/>
          <w:color w:val="000000"/>
          <w:spacing w:val="0"/>
          <w:sz w:val="32"/>
          <w:szCs w:val="32"/>
          <w:shd w:val="clear" w:fill="FFFFFF"/>
        </w:rPr>
        <w:t>高度重视政务公开工作，及时参加市政务公开办组织的政务公开会议和业务培训</w:t>
      </w:r>
      <w:r>
        <w:rPr>
          <w:rFonts w:hint="default" w:ascii="Times New Roman" w:hAnsi="Times New Roman" w:eastAsia="方正仿宋_GBK" w:cs="Times New Roman"/>
          <w:i w:val="0"/>
          <w:caps w:val="0"/>
          <w:color w:val="000000"/>
          <w:spacing w:val="0"/>
          <w:sz w:val="32"/>
          <w:szCs w:val="32"/>
          <w:shd w:val="clear" w:fill="FFFFFF"/>
          <w:lang w:eastAsia="zh-CN"/>
        </w:rPr>
        <w:t>，分管领导带头研读政策文件，带领机关科室及下属事业单位负责人学习</w:t>
      </w:r>
      <w:r>
        <w:rPr>
          <w:rFonts w:hint="default" w:ascii="Times New Roman" w:hAnsi="Times New Roman" w:eastAsia="方正仿宋_GBK" w:cs="Times New Roman"/>
          <w:i w:val="0"/>
          <w:caps w:val="0"/>
          <w:color w:val="000000"/>
          <w:spacing w:val="0"/>
          <w:sz w:val="32"/>
          <w:szCs w:val="32"/>
          <w:shd w:val="clear" w:fill="FFFFFF"/>
        </w:rPr>
        <w:t>《中华人民共和国政府信息公开条例》</w:t>
      </w:r>
      <w:r>
        <w:rPr>
          <w:rFonts w:hint="default" w:ascii="Times New Roman" w:hAnsi="Times New Roman" w:eastAsia="方正仿宋_GBK" w:cs="Times New Roman"/>
          <w:i w:val="0"/>
          <w:caps w:val="0"/>
          <w:color w:val="000000"/>
          <w:spacing w:val="0"/>
          <w:sz w:val="32"/>
          <w:szCs w:val="32"/>
          <w:shd w:val="clear" w:fill="FFFFFF"/>
          <w:lang w:eastAsia="zh-CN"/>
        </w:rPr>
        <w:t>等内容，组织信息员到亳州市退役军人事务局观摩学习信息化建设经验，</w:t>
      </w:r>
      <w:r>
        <w:rPr>
          <w:rFonts w:hint="default" w:ascii="Times New Roman" w:hAnsi="Times New Roman" w:eastAsia="方正仿宋_GBK" w:cs="Times New Roman"/>
          <w:i w:val="0"/>
          <w:caps w:val="0"/>
          <w:color w:val="000000"/>
          <w:spacing w:val="0"/>
          <w:sz w:val="32"/>
          <w:szCs w:val="32"/>
          <w:shd w:val="clear" w:fill="FFFFFF"/>
        </w:rPr>
        <w:t>努力提高</w:t>
      </w:r>
      <w:r>
        <w:rPr>
          <w:rFonts w:hint="default" w:ascii="Times New Roman" w:hAnsi="Times New Roman" w:eastAsia="方正仿宋_GBK" w:cs="Times New Roman"/>
          <w:i w:val="0"/>
          <w:caps w:val="0"/>
          <w:color w:val="000000"/>
          <w:spacing w:val="0"/>
          <w:sz w:val="32"/>
          <w:szCs w:val="32"/>
          <w:shd w:val="clear" w:fill="FFFFFF"/>
          <w:lang w:eastAsia="zh-CN"/>
        </w:rPr>
        <w:t>公开素养，有效推进公开质效。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二、主动公开政府信息情况</w:t>
      </w:r>
    </w:p>
    <w:tbl>
      <w:tblPr>
        <w:tblStyle w:val="4"/>
        <w:tblW w:w="9473" w:type="dxa"/>
        <w:jc w:val="center"/>
        <w:tblBorders>
          <w:top w:val="none" w:color="333333" w:sz="6" w:space="0"/>
          <w:left w:val="none" w:color="333333" w:sz="6" w:space="0"/>
          <w:bottom w:val="none" w:color="333333" w:sz="6" w:space="0"/>
          <w:right w:val="non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168"/>
      </w:tblGrid>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第二十条第（一）项</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本年制发件数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本年废止件数</w:t>
            </w:r>
          </w:p>
        </w:tc>
        <w:tc>
          <w:tcPr>
            <w:tcW w:w="216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现行有效件数</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c>
          <w:tcPr>
            <w:tcW w:w="216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216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4</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第二十条第（五）项</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信息内容</w:t>
            </w:r>
          </w:p>
        </w:tc>
        <w:tc>
          <w:tcPr>
            <w:tcW w:w="70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本年处理决定数量</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行政许可</w:t>
            </w:r>
          </w:p>
        </w:tc>
        <w:tc>
          <w:tcPr>
            <w:tcW w:w="70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第二十条第（六）项</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信息内容</w:t>
            </w:r>
          </w:p>
        </w:tc>
        <w:tc>
          <w:tcPr>
            <w:tcW w:w="7038"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本年处理决定数量</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行政处罚</w:t>
            </w:r>
          </w:p>
        </w:tc>
        <w:tc>
          <w:tcPr>
            <w:tcW w:w="70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行政强制</w:t>
            </w:r>
          </w:p>
        </w:tc>
        <w:tc>
          <w:tcPr>
            <w:tcW w:w="703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第二十条第（八）项</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信息内容</w:t>
            </w:r>
          </w:p>
        </w:tc>
        <w:tc>
          <w:tcPr>
            <w:tcW w:w="7038"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本年收费金额（单位：万元）</w:t>
            </w:r>
          </w:p>
        </w:tc>
      </w:tr>
      <w:tr>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行政事业性收费</w:t>
            </w:r>
          </w:p>
        </w:tc>
        <w:tc>
          <w:tcPr>
            <w:tcW w:w="7038"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hint="eastAsia" w:ascii="方正黑体_GBK" w:hAnsi="方正黑体_GBK" w:eastAsia="方正黑体_GBK" w:cs="方正黑体_GBK"/>
          <w:i w:val="0"/>
          <w:caps w:val="0"/>
          <w:color w:val="000000"/>
          <w:spacing w:val="0"/>
          <w:sz w:val="32"/>
          <w:szCs w:val="32"/>
          <w:shd w:val="clear" w:fill="FFFFFF"/>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收到和处理政府信息公开申请情况</w:t>
      </w:r>
    </w:p>
    <w:tbl>
      <w:tblPr>
        <w:tblStyle w:val="4"/>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楷体" w:cs="Times New Roman"/>
                <w:sz w:val="20"/>
                <w:szCs w:val="20"/>
                <w:lang w:val="en-US" w:eastAsia="zh-CN" w:bidi="ar-SA"/>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申请人情况</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法人或其他组织</w:t>
            </w:r>
          </w:p>
        </w:tc>
        <w:tc>
          <w:tcPr>
            <w:tcW w:w="689" w:type="dxa"/>
            <w:vMerge w:val="restart"/>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88" w:type="dxa"/>
            <w:vMerge w:val="continue"/>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商业</w:t>
            </w:r>
          </w:p>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科研</w:t>
            </w:r>
          </w:p>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其他</w:t>
            </w:r>
          </w:p>
        </w:tc>
        <w:tc>
          <w:tcPr>
            <w:tcW w:w="689" w:type="dxa"/>
            <w:vMerge w:val="continue"/>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768" w:type="dxa"/>
            <w:vMerge w:val="restart"/>
            <w:tcBorders>
              <w:top w:val="nil"/>
              <w:left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三、本年度办理结果</w:t>
            </w:r>
          </w:p>
        </w:tc>
        <w:tc>
          <w:tcPr>
            <w:tcW w:w="4163" w:type="dxa"/>
            <w:gridSpan w:val="2"/>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bookmarkStart w:id="5" w:name="_GoBack"/>
            <w:bookmarkEnd w:id="5"/>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879" w:hRule="atLeast"/>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（二）部分公开</w:t>
            </w:r>
            <w:r>
              <w:rPr>
                <w:rFonts w:ascii="Times New Roman" w:hAnsi="Times New Roman" w:eastAsia="楷体" w:cs="Times New Roman"/>
                <w:sz w:val="20"/>
                <w:szCs w:val="20"/>
                <w:lang w:val="en-US" w:eastAsia="zh-CN" w:bidi="ar-SA"/>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（三）不予公开</w:t>
            </w: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5.要求行政机关确认或重新出具已获取信息</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eastAsia="宋体" w:cs="Times New Roman"/>
                <w:kern w:val="0"/>
                <w:sz w:val="21"/>
                <w:szCs w:val="21"/>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1</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rPr>
          <w:rFonts w:hint="eastAsia" w:ascii="方正黑体_GBK" w:hAnsi="方正黑体_GBK" w:eastAsia="方正黑体_GBK" w:cs="方正黑体_GBK"/>
          <w:i w:val="0"/>
          <w:caps w:val="0"/>
          <w:color w:val="000000"/>
          <w:spacing w:val="0"/>
          <w:sz w:val="32"/>
          <w:szCs w:val="32"/>
          <w:shd w:val="clear" w:fill="FFFFFF"/>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leftChars="0" w:right="0" w:firstLine="640" w:firstLineChars="0"/>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政府信息公开行政复议、行政诉讼情况</w:t>
      </w:r>
    </w:p>
    <w:tbl>
      <w:tblPr>
        <w:tblStyle w:val="4"/>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行政复议</w:t>
            </w:r>
          </w:p>
        </w:tc>
        <w:tc>
          <w:tcPr>
            <w:tcW w:w="649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行政诉讼</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结果维持</w:t>
            </w:r>
          </w:p>
        </w:tc>
        <w:tc>
          <w:tcPr>
            <w:tcW w:w="6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纠正</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其他</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结果</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尚未</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审结</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总计</w:t>
            </w:r>
          </w:p>
        </w:tc>
        <w:tc>
          <w:tcPr>
            <w:tcW w:w="324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未经复议直接起诉</w:t>
            </w:r>
          </w:p>
        </w:tc>
        <w:tc>
          <w:tcPr>
            <w:tcW w:w="325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复议后起诉</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5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 w:val="21"/>
                <w:szCs w:val="21"/>
              </w:rPr>
            </w:pP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维持</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其他</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尚未</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审结</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总计</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维持</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结果</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其他</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尚未</w:t>
            </w:r>
            <w:r>
              <w:rPr>
                <w:rFonts w:ascii="Times New Roman" w:hAnsi="Times New Roman" w:eastAsia="宋体" w:cs="Times New Roman"/>
                <w:sz w:val="20"/>
                <w:szCs w:val="20"/>
                <w:lang w:val="en-US" w:eastAsia="zh-CN" w:bidi="ar-SA"/>
              </w:rPr>
              <w:br w:type="textWrapping"/>
            </w:r>
            <w:r>
              <w:rPr>
                <w:rFonts w:ascii="Times New Roman" w:hAnsi="Times New Roman" w:eastAsia="宋体" w:cs="Times New Roman"/>
                <w:sz w:val="20"/>
                <w:szCs w:val="20"/>
                <w:lang w:val="en-US" w:eastAsia="zh-CN" w:bidi="ar-SA"/>
              </w:rPr>
              <w:t>审结</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ascii="Times New Roman" w:hAnsi="Times New Roman" w:eastAsia="宋体" w:cs="Times New Roman"/>
                <w:sz w:val="20"/>
                <w:szCs w:val="20"/>
                <w:lang w:val="en-US" w:eastAsia="zh-CN" w:bidi="ar-SA"/>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jc w:val="center"/>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0"/>
                <w:szCs w:val="20"/>
                <w:lang w:val="en-US" w:eastAsia="zh-CN" w:bidi="ar-SA"/>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right="0" w:rightChars="0"/>
        <w:rPr>
          <w:rFonts w:hint="eastAsia" w:ascii="方正黑体_GBK" w:hAnsi="方正黑体_GBK" w:eastAsia="方正黑体_GBK" w:cs="方正黑体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lang w:eastAsia="zh-CN"/>
        </w:rPr>
      </w:pPr>
      <w:r>
        <w:rPr>
          <w:rFonts w:hint="eastAsia" w:ascii="方正楷体_GBK" w:hAnsi="方正楷体_GBK" w:eastAsia="方正楷体_GBK" w:cs="方正楷体_GBK"/>
          <w:i w:val="0"/>
          <w:caps w:val="0"/>
          <w:color w:val="000000"/>
          <w:spacing w:val="0"/>
          <w:sz w:val="32"/>
          <w:szCs w:val="32"/>
          <w:shd w:val="clear" w:fill="FFFFFF"/>
        </w:rPr>
        <w:t>（一）存在的主要问题</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2024年，我局政务公开工作主要问题有：一是</w:t>
      </w:r>
      <w:r>
        <w:rPr>
          <w:rFonts w:hint="default" w:ascii="Times New Roman" w:hAnsi="Times New Roman" w:eastAsia="方正仿宋_GBK" w:cs="Times New Roman"/>
          <w:i w:val="0"/>
          <w:caps w:val="0"/>
          <w:color w:val="000000"/>
          <w:spacing w:val="0"/>
          <w:sz w:val="32"/>
          <w:szCs w:val="32"/>
          <w:shd w:val="clear" w:fill="FFFFFF"/>
          <w:lang w:eastAsia="zh-CN"/>
        </w:rPr>
        <w:t>公开面有待拓展，在政策文件的研讨、制发环节缺乏面向社会公众的意见征集内容，人民群众难以发挥社会监督的作用；二是政策解读缺乏深度、形式单一，存在解读要素不齐全，解读语言不亲民的情况。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方正楷体_GBK" w:hAnsi="方正楷体_GBK" w:eastAsia="方正楷体_GBK" w:cs="方正楷体_GBK"/>
          <w:i w:val="0"/>
          <w:caps w:val="0"/>
          <w:color w:val="000000"/>
          <w:spacing w:val="0"/>
          <w:sz w:val="32"/>
          <w:szCs w:val="32"/>
          <w:shd w:val="clear" w:fill="FFFFFF"/>
        </w:rPr>
        <w:t>（二）改进情况</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lang w:eastAsia="zh-CN"/>
        </w:rPr>
        <w:t>一是做好面向社会公众的意见征集。依托政府网站、微信公众号、“老兵</w:t>
      </w:r>
      <w:r>
        <w:rPr>
          <w:rFonts w:hint="default" w:ascii="Times New Roman" w:hAnsi="Times New Roman" w:eastAsia="方正仿宋_GBK" w:cs="Times New Roman"/>
          <w:i w:val="0"/>
          <w:caps w:val="0"/>
          <w:color w:val="000000"/>
          <w:spacing w:val="0"/>
          <w:sz w:val="32"/>
          <w:szCs w:val="32"/>
          <w:shd w:val="clear" w:fill="FFFFFF"/>
          <w:lang w:val="en-US" w:eastAsia="zh-CN"/>
        </w:rPr>
        <w:t>APP</w:t>
      </w:r>
      <w:r>
        <w:rPr>
          <w:rFonts w:hint="default" w:ascii="Times New Roman" w:hAnsi="Times New Roman" w:eastAsia="方正仿宋_GBK" w:cs="Times New Roman"/>
          <w:i w:val="0"/>
          <w:caps w:val="0"/>
          <w:color w:val="000000"/>
          <w:spacing w:val="0"/>
          <w:sz w:val="32"/>
          <w:szCs w:val="32"/>
          <w:shd w:val="clear" w:fill="FFFFFF"/>
          <w:lang w:eastAsia="zh-CN"/>
        </w:rPr>
        <w:t>”等线上平台，结合服务窗口、座谈会、政策宣讲展位等线下渠道</w:t>
      </w:r>
      <w:r>
        <w:rPr>
          <w:rFonts w:hint="default" w:ascii="Times New Roman" w:hAnsi="Times New Roman" w:eastAsia="仿宋_GB2312" w:cs="Times New Roman"/>
          <w:sz w:val="32"/>
          <w:szCs w:val="32"/>
          <w:lang w:val="en-US" w:eastAsia="zh-CN"/>
        </w:rPr>
        <w:t>扩大公众参与，激发公众参与的积极性。</w:t>
      </w:r>
      <w:r>
        <w:rPr>
          <w:rFonts w:hint="default" w:ascii="Times New Roman" w:hAnsi="Times New Roman" w:eastAsia="方正仿宋_GBK" w:cs="Times New Roman"/>
          <w:i w:val="0"/>
          <w:caps w:val="0"/>
          <w:color w:val="000000"/>
          <w:spacing w:val="0"/>
          <w:sz w:val="32"/>
          <w:szCs w:val="32"/>
          <w:shd w:val="clear" w:fill="FFFFFF"/>
          <w:lang w:val="en-US" w:eastAsia="zh-CN"/>
        </w:rPr>
        <w:t>二是做好政策解读。年初拟召开专题学习会，明确政策解读各项要素，确保文字类解读材料要素齐全，内容详实，语言简洁。在做好文字解读的基础上，积极探索其他解读方式，丰富解读形式，扩大公众参与，加强政民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我局按照《国务院办公厅关于印发〈政府信息公开信息处理费管理办法〉的通知》（国办函〔2020〕109号）、《安徽省财政厅 安徽省发展和改革委员会关于政府信息公开信息处理费有关事项的通知》（皖财综〔2021〕28号）文件规定的按件、按量收费标准，2024年度未收取政府信息公开信息处理费。</w:t>
      </w:r>
    </w:p>
    <w:bookmarkEnd w:id="1"/>
    <w:bookmarkEnd w:id="2"/>
    <w:bookmarkEnd w:id="3"/>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F66"/>
    <w:multiLevelType w:val="singleLevel"/>
    <w:tmpl w:val="2C6A1F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3A1C"/>
    <w:rsid w:val="0A655C74"/>
    <w:rsid w:val="10090F30"/>
    <w:rsid w:val="1461633E"/>
    <w:rsid w:val="155B2E86"/>
    <w:rsid w:val="23EB1312"/>
    <w:rsid w:val="33A53401"/>
    <w:rsid w:val="3BE9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2241</Words>
  <Characters>2332</Characters>
  <Lines>0</Lines>
  <Paragraphs>0</Paragraphs>
  <TotalTime>10</TotalTime>
  <ScaleCrop>false</ScaleCrop>
  <LinksUpToDate>false</LinksUpToDate>
  <CharactersWithSpaces>2333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2025-01-20T04:34:00Z</dcterms:created>
  <dc:creator>Administrator</dc:creator>
  <cp:lastModifiedBy>肖扬</cp:lastModifiedBy>
  <dcterms:modified xsi:type="dcterms:W3CDTF">2025-01-21T00:59:02Z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