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center"/>
        <w:rPr>
          <w:rFonts w:hint="eastAsia" w:ascii="方正小标宋简体" w:hAnsi="方正小标宋简体" w:eastAsia="方正小标宋简体" w:cs="方正小标宋简体"/>
          <w:spacing w:val="0"/>
          <w:kern w:val="0"/>
          <w:sz w:val="44"/>
          <w:szCs w:val="44"/>
          <w:lang w:val="en-US" w:eastAsia="zh-CN" w:bidi="ar"/>
        </w:rPr>
      </w:pPr>
      <w:bookmarkStart w:id="0" w:name="OLE_LINK5"/>
      <w:bookmarkStart w:id="1" w:name="OLE_LINK4"/>
      <w:bookmarkStart w:id="2" w:name="OLE_LINK3"/>
      <w:bookmarkStart w:id="3" w:name="OLE_LINK2"/>
      <w:r>
        <w:rPr>
          <w:rFonts w:hint="eastAsia" w:ascii="方正小标宋简体" w:hAnsi="方正小标宋简体" w:eastAsia="方正小标宋简体" w:cs="方正小标宋简体"/>
          <w:spacing w:val="0"/>
          <w:kern w:val="0"/>
          <w:sz w:val="44"/>
          <w:szCs w:val="44"/>
          <w:lang w:val="en-US" w:eastAsia="zh-CN" w:bidi="ar"/>
        </w:rPr>
        <w:t>淮北市退役军人事务局2025年政府信息公开工作年度报告</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仿宋_GB2312" w:hAnsi="仿宋_GB2312" w:eastAsia="仿宋_GB2312" w:cs="仿宋_GB2312"/>
          <w:spacing w:val="0"/>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依据《中华人民共和国政府信息公开条例》（国务院令第711号）及省、市关于政府信息公开工作的相关要求，结合市退役军人事务局2025年度工作实际，编制本报告。报告涵盖总体情况、主动公开信息情况、申请处理情况、复议诉讼情况、问题改进及其他事项等六部分内容，统计期限为2025年1月1日至2025年12月31日。本年度报告电子版可从“淮北市退役军人事务局网站”（www.huaibei.gov.cn）下载。如对报告有疑问，可联系市退役军人事务局办公室（地址：淮北市人民中路189号淮北市退役军人事务局办公室，邮编：235000，电话：0561-3298006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黑体" w:hAnsi="黑体" w:eastAsia="黑体" w:cs="黑体"/>
          <w:sz w:val="32"/>
          <w:szCs w:val="32"/>
        </w:rPr>
      </w:pPr>
      <w:bookmarkStart w:id="4" w:name="_GoBack"/>
      <w:r>
        <w:rPr>
          <w:rFonts w:hint="eastAsia" w:ascii="黑体" w:hAnsi="黑体" w:eastAsia="黑体" w:cs="黑体"/>
          <w:sz w:val="32"/>
          <w:szCs w:val="32"/>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我局坚持以习近平新时代中国特色社会主义思想为指导，深入贯彻党的二十大及二十届二中、三中全会精神，全面落实习近平总书记关于退役军人工作的重要论述，严格执行《中华人民共和国政府信息公开条例》，聚焦退役军人权益保障、优抚安置、就业创业、褒扬纪念等核心业务，持续提升信息公开质效，为退役军人工作高质量发展提供坚实支撑。结合本局工作实际，编制局本级重点公开任务清单，依法依规推进各项信息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（一）主动公开</w:t>
      </w:r>
      <w:r>
        <w:rPr>
          <w:rFonts w:hint="eastAsia" w:ascii="仿宋_GB2312" w:hAnsi="仿宋_GB2312" w:eastAsia="仿宋_GB2312" w:cs="仿宋_GB2312"/>
          <w:sz w:val="32"/>
          <w:szCs w:val="32"/>
          <w:lang w:val="en-US" w:eastAsia="zh-CN"/>
        </w:rPr>
        <w:t>。全年累计发布各类政务信息150条，其中政策解读 2 条，召开新闻发布会、开展在线访谈各1次，组织意见征集1次，依规完成招投标公示。构建 “政策解读+工作动态+服务指南”三位一体公开模式，重点公开退役军人安置政策、优抚补助标准、就业创业扶持举措、财政预决算及重大项目实施等信息，精准对接服务对象需求，保障公众知情权与参与权。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（二）依申请公开。</w:t>
      </w:r>
      <w:r>
        <w:rPr>
          <w:rFonts w:hint="eastAsia" w:ascii="仿宋_GB2312" w:hAnsi="仿宋_GB2312" w:eastAsia="仿宋_GB2312" w:cs="仿宋_GB2312"/>
          <w:sz w:val="32"/>
          <w:szCs w:val="32"/>
          <w:lang w:val="en-US" w:eastAsia="zh-CN"/>
        </w:rPr>
        <w:t>严格遵循《政府信息公开条例》，坚守依法、及时、规范、便民原则，持续健全工作机制，优化申请接收、审核、办理、答复全流程，依法保障公民、法人和其他组织获取政府信息的合法权利。全年依申请公开工作平稳有序，有效回应社会公众合理诉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（三）政府信息管理。</w:t>
      </w:r>
      <w:r>
        <w:rPr>
          <w:rFonts w:hint="eastAsia" w:ascii="仿宋_GB2312" w:hAnsi="仿宋_GB2312" w:eastAsia="仿宋_GB2312" w:cs="仿宋_GB2312"/>
          <w:sz w:val="32"/>
          <w:szCs w:val="32"/>
          <w:lang w:val="en-US" w:eastAsia="zh-CN"/>
        </w:rPr>
        <w:t>严格落实信息“三审三校”制度，对拟公开信息开展合规性、准确性、保密性全面审查，严防涉密及敏感信息外泄。建立信息动态更新与定期清理机制，及时梳理废止、失效文件，更新现行有效政策，确保公开信息权威、精准、时效，切实维护退役军人及社会公众的监督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（四）公开平台建设。</w:t>
      </w:r>
      <w:r>
        <w:rPr>
          <w:rFonts w:hint="eastAsia" w:ascii="仿宋_GB2312" w:hAnsi="仿宋_GB2312" w:eastAsia="仿宋_GB2312" w:cs="仿宋_GB2312"/>
          <w:sz w:val="32"/>
          <w:szCs w:val="32"/>
          <w:lang w:val="en-US" w:eastAsia="zh-CN"/>
        </w:rPr>
        <w:t>以官方门户网站政务公开专栏为核心，推进平台标准化、规范化建设，优化栏目设置，完善法定公开内容，健全常态化更新审核机制。整合线上线下渠道，依托政务新媒体、微信公众号及政务服务大厅查阅点，实现信息多渠道同步发布。落实专人运维管理，定期开展安全隐患排查，保障平台安全稳定运行，提升群众获取信息的便捷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（五）监督保障。</w:t>
      </w:r>
      <w:r>
        <w:rPr>
          <w:rFonts w:hint="eastAsia" w:ascii="仿宋_GB2312" w:hAnsi="仿宋_GB2312" w:eastAsia="仿宋_GB2312" w:cs="仿宋_GB2312"/>
          <w:sz w:val="32"/>
          <w:szCs w:val="32"/>
          <w:lang w:val="en-US" w:eastAsia="zh-CN"/>
        </w:rPr>
        <w:t>完善组织领导与责任体系，明确分管领导、责任科室及岗位职责，将信息公开纳入年度重点工作统筹推进。建立常态化自查自纠机制，定期对照公开目录排查整改问题，提升工作规范性。开展条例解读、平台操作、答复规范等业务培训，强化人员专业能力与责任意识。畅通社会监督渠道，主动接受群众监督，及时回应反馈意见，以全链条监督保障信息公开工作提质增效。</w:t>
      </w:r>
    </w:p>
    <w:bookmarkEnd w:id="4"/>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黑体" w:hAnsi="黑体" w:eastAsia="黑体" w:cs="黑体"/>
          <w:kern w:val="0"/>
          <w:sz w:val="32"/>
          <w:szCs w:val="32"/>
          <w:lang w:val="en-US" w:eastAsia="zh-CN" w:bidi="ar"/>
        </w:rPr>
      </w:pPr>
      <w:r>
        <w:rPr>
          <w:rFonts w:hint="eastAsia" w:ascii="黑体" w:hAnsi="黑体" w:eastAsia="黑体" w:cs="黑体"/>
          <w:sz w:val="32"/>
          <w:szCs w:val="32"/>
        </w:rPr>
        <w:t>二、主动公开政府信息情况</w:t>
      </w:r>
    </w:p>
    <w:tbl>
      <w:tblPr>
        <w:tblStyle w:val="4"/>
        <w:tblW w:w="9473" w:type="dxa"/>
        <w:jc w:val="center"/>
        <w:tblBorders>
          <w:top w:val="none" w:color="333333" w:sz="6" w:space="0"/>
          <w:left w:val="none" w:color="333333" w:sz="6" w:space="0"/>
          <w:bottom w:val="none" w:color="333333" w:sz="6" w:space="0"/>
          <w:right w:val="none" w:color="333333" w:sz="6" w:space="0"/>
          <w:insideH w:val="none" w:color="auto" w:sz="0" w:space="0"/>
          <w:insideV w:val="none" w:color="auto" w:sz="0" w:space="0"/>
        </w:tblBorders>
        <w:tblLayout w:type="autofit"/>
        <w:tblCellMar>
          <w:top w:w="15" w:type="dxa"/>
          <w:left w:w="15" w:type="dxa"/>
          <w:bottom w:w="15" w:type="dxa"/>
          <w:right w:w="15" w:type="dxa"/>
        </w:tblCellMar>
      </w:tblPr>
      <w:tblGrid>
        <w:gridCol w:w="2435"/>
        <w:gridCol w:w="2435"/>
        <w:gridCol w:w="2435"/>
        <w:gridCol w:w="2168"/>
      </w:tblGrid>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本年制发件数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本年废止件数</w:t>
            </w:r>
          </w:p>
        </w:tc>
        <w:tc>
          <w:tcPr>
            <w:tcW w:w="216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现行有效件数</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0</w:t>
            </w:r>
          </w:p>
        </w:tc>
        <w:tc>
          <w:tcPr>
            <w:tcW w:w="216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0</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216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4</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473"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第二十条第（五）项</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信息内容</w:t>
            </w:r>
          </w:p>
        </w:tc>
        <w:tc>
          <w:tcPr>
            <w:tcW w:w="7038"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本年处理决定数量</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行政许可</w:t>
            </w:r>
          </w:p>
        </w:tc>
        <w:tc>
          <w:tcPr>
            <w:tcW w:w="7038"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473"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第二十条第（六）项</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信息内容</w:t>
            </w:r>
          </w:p>
        </w:tc>
        <w:tc>
          <w:tcPr>
            <w:tcW w:w="7038"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本年处理决定数量</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行政处罚</w:t>
            </w:r>
          </w:p>
        </w:tc>
        <w:tc>
          <w:tcPr>
            <w:tcW w:w="7038"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行政强制</w:t>
            </w:r>
          </w:p>
        </w:tc>
        <w:tc>
          <w:tcPr>
            <w:tcW w:w="7038"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473"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第二十条第（八）项</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信息内容</w:t>
            </w:r>
          </w:p>
        </w:tc>
        <w:tc>
          <w:tcPr>
            <w:tcW w:w="7038"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本年收费金额（单位：万元）</w:t>
            </w:r>
          </w:p>
        </w:tc>
      </w:tr>
      <w:tr>
        <w:tblPrEx>
          <w:tblBorders>
            <w:top w:val="none" w:color="333333" w:sz="6" w:space="0"/>
            <w:left w:val="none" w:color="333333" w:sz="6" w:space="0"/>
            <w:bottom w:val="none" w:color="333333" w:sz="6" w:space="0"/>
            <w:right w:val="none" w:color="333333" w:sz="6"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行政事业性收费</w:t>
            </w:r>
          </w:p>
        </w:tc>
        <w:tc>
          <w:tcPr>
            <w:tcW w:w="7038"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黑体" w:hAnsi="黑体" w:eastAsia="黑体" w:cs="黑体"/>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黑体" w:hAnsi="黑体" w:eastAsia="黑体" w:cs="黑体"/>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lang w:val="en-US" w:eastAsia="zh-CN"/>
        </w:rPr>
        <w:t>三、</w:t>
      </w:r>
      <w:r>
        <w:rPr>
          <w:rFonts w:hint="eastAsia" w:ascii="黑体" w:hAnsi="黑体" w:eastAsia="黑体" w:cs="黑体"/>
          <w:i w:val="0"/>
          <w:caps w:val="0"/>
          <w:color w:val="000000"/>
          <w:spacing w:val="0"/>
          <w:sz w:val="32"/>
          <w:szCs w:val="32"/>
          <w:shd w:val="clear" w:fill="FFFFFF"/>
        </w:rPr>
        <w:t>收到和处理政府信息公开申请情况</w:t>
      </w:r>
    </w:p>
    <w:tbl>
      <w:tblPr>
        <w:tblStyle w:val="4"/>
        <w:tblW w:w="9748" w:type="dxa"/>
        <w:jc w:val="center"/>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楷体" w:cs="Times New Roman"/>
                <w:sz w:val="20"/>
                <w:szCs w:val="20"/>
                <w:lang w:val="en-US" w:eastAsia="zh-CN" w:bidi="ar-SA"/>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申请人情况</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1"/>
                <w:szCs w:val="21"/>
              </w:rPr>
            </w:pPr>
          </w:p>
        </w:tc>
        <w:tc>
          <w:tcPr>
            <w:tcW w:w="688"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自然人</w:t>
            </w:r>
          </w:p>
        </w:tc>
        <w:tc>
          <w:tcPr>
            <w:tcW w:w="344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法人或其他组织</w:t>
            </w:r>
          </w:p>
        </w:tc>
        <w:tc>
          <w:tcPr>
            <w:tcW w:w="689" w:type="dxa"/>
            <w:vMerge w:val="restart"/>
            <w:tcBorders>
              <w:top w:val="single" w:color="auto" w:sz="8" w:space="0"/>
              <w:left w:val="nil"/>
              <w:bottom w:val="outset"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总计</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trHeight w:val="688" w:hRule="atLeast"/>
          <w:jc w:val="center"/>
        </w:trPr>
        <w:tc>
          <w:tcPr>
            <w:tcW w:w="4931" w:type="dxa"/>
            <w:gridSpan w:val="3"/>
            <w:vMerge w:val="continue"/>
            <w:tcBorders>
              <w:top w:val="single" w:color="auto" w:sz="8" w:space="0"/>
              <w:left w:val="single" w:color="auto" w:sz="8" w:space="0"/>
              <w:bottom w:val="outset"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1"/>
                <w:szCs w:val="21"/>
              </w:rPr>
            </w:pPr>
          </w:p>
        </w:tc>
        <w:tc>
          <w:tcPr>
            <w:tcW w:w="688" w:type="dxa"/>
            <w:vMerge w:val="continue"/>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商业</w:t>
            </w:r>
          </w:p>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企业</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科研</w:t>
            </w:r>
          </w:p>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社会公益组织</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法律服务机构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其他</w:t>
            </w:r>
          </w:p>
        </w:tc>
        <w:tc>
          <w:tcPr>
            <w:tcW w:w="689" w:type="dxa"/>
            <w:vMerge w:val="continue"/>
            <w:tcBorders>
              <w:top w:val="single" w:color="auto" w:sz="8" w:space="0"/>
              <w:left w:val="nil"/>
              <w:bottom w:val="out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trHeight w:val="507" w:hRule="atLeast"/>
          <w:jc w:val="center"/>
        </w:trPr>
        <w:tc>
          <w:tcPr>
            <w:tcW w:w="4931"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一、本年新收政府信息公开申请数量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trHeight w:val="447" w:hRule="atLeast"/>
          <w:jc w:val="center"/>
        </w:trPr>
        <w:tc>
          <w:tcPr>
            <w:tcW w:w="4931"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二、上年结转政府信息公开申请数量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trHeight w:val="512" w:hRule="atLeast"/>
          <w:jc w:val="center"/>
        </w:trPr>
        <w:tc>
          <w:tcPr>
            <w:tcW w:w="768" w:type="dxa"/>
            <w:vMerge w:val="restart"/>
            <w:tcBorders>
              <w:top w:val="nil"/>
              <w:left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三、本年度办理结果</w:t>
            </w:r>
          </w:p>
        </w:tc>
        <w:tc>
          <w:tcPr>
            <w:tcW w:w="4163" w:type="dxa"/>
            <w:gridSpan w:val="2"/>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（一）予以公开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trHeight w:val="879" w:hRule="atLeast"/>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（二）部分公开</w:t>
            </w:r>
            <w:r>
              <w:rPr>
                <w:rFonts w:ascii="Times New Roman" w:hAnsi="Times New Roman" w:eastAsia="楷体" w:cs="Times New Roman"/>
                <w:sz w:val="20"/>
                <w:szCs w:val="20"/>
                <w:lang w:val="en-US" w:eastAsia="zh-CN" w:bidi="ar-SA"/>
              </w:rPr>
              <w:t>（区分处理的，只计这一情形，不计其他情形）</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p>
        </w:tc>
        <w:tc>
          <w:tcPr>
            <w:tcW w:w="943" w:type="dxa"/>
            <w:vMerge w:val="restart"/>
            <w:tcBorders>
              <w:top w:val="nil"/>
              <w:left w:val="nil"/>
              <w:bottom w:val="outset"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（三）不予公开</w:t>
            </w:r>
          </w:p>
        </w:tc>
        <w:tc>
          <w:tcPr>
            <w:tcW w:w="3220"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1.属于国家秘密</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943" w:type="dxa"/>
            <w:vMerge w:val="continue"/>
            <w:tcBorders>
              <w:top w:val="nil"/>
              <w:left w:val="nil"/>
              <w:bottom w:val="out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2.其他法律行政法规禁止公开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943" w:type="dxa"/>
            <w:vMerge w:val="continue"/>
            <w:tcBorders>
              <w:top w:val="nil"/>
              <w:left w:val="nil"/>
              <w:bottom w:val="out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3.危及“三安全一稳定”</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943" w:type="dxa"/>
            <w:vMerge w:val="continue"/>
            <w:tcBorders>
              <w:top w:val="nil"/>
              <w:left w:val="nil"/>
              <w:bottom w:val="out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4.保护第三方合法权益</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943" w:type="dxa"/>
            <w:vMerge w:val="continue"/>
            <w:tcBorders>
              <w:top w:val="nil"/>
              <w:left w:val="nil"/>
              <w:bottom w:val="out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5.属于三类内部事务信息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943" w:type="dxa"/>
            <w:vMerge w:val="continue"/>
            <w:tcBorders>
              <w:top w:val="nil"/>
              <w:left w:val="nil"/>
              <w:bottom w:val="out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6.属于四类过程性信息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943" w:type="dxa"/>
            <w:vMerge w:val="continue"/>
            <w:tcBorders>
              <w:top w:val="nil"/>
              <w:left w:val="nil"/>
              <w:bottom w:val="out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7.属于行政执法案卷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943" w:type="dxa"/>
            <w:vMerge w:val="continue"/>
            <w:tcBorders>
              <w:top w:val="nil"/>
              <w:left w:val="nil"/>
              <w:bottom w:val="out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8.属于行政查询事项</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943" w:type="dxa"/>
            <w:vMerge w:val="restart"/>
            <w:tcBorders>
              <w:top w:val="nil"/>
              <w:left w:val="nil"/>
              <w:bottom w:val="outset"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（四）无法提供</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1.本机关不掌握相关政府信息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943" w:type="dxa"/>
            <w:vMerge w:val="continue"/>
            <w:tcBorders>
              <w:top w:val="nil"/>
              <w:left w:val="nil"/>
              <w:bottom w:val="out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2.没有现成信息需要另行制作</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943" w:type="dxa"/>
            <w:vMerge w:val="continue"/>
            <w:tcBorders>
              <w:top w:val="nil"/>
              <w:left w:val="nil"/>
              <w:bottom w:val="out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3.补正后申请内容仍不明确</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943" w:type="dxa"/>
            <w:vMerge w:val="restart"/>
            <w:tcBorders>
              <w:top w:val="nil"/>
              <w:left w:val="nil"/>
              <w:bottom w:val="outset"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（五）不予处理</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1.信访举报投诉类申请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943" w:type="dxa"/>
            <w:vMerge w:val="continue"/>
            <w:tcBorders>
              <w:top w:val="nil"/>
              <w:left w:val="nil"/>
              <w:bottom w:val="out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2.重复申请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943" w:type="dxa"/>
            <w:vMerge w:val="continue"/>
            <w:tcBorders>
              <w:top w:val="nil"/>
              <w:left w:val="nil"/>
              <w:bottom w:val="out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3.要求提供公开出版物</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943" w:type="dxa"/>
            <w:vMerge w:val="continue"/>
            <w:tcBorders>
              <w:top w:val="nil"/>
              <w:left w:val="nil"/>
              <w:bottom w:val="out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4.无正当理由大量反复申请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943" w:type="dxa"/>
            <w:vMerge w:val="continue"/>
            <w:tcBorders>
              <w:top w:val="nil"/>
              <w:left w:val="nil"/>
              <w:bottom w:val="out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3220" w:type="dxa"/>
            <w:tcBorders>
              <w:top w:val="nil"/>
              <w:left w:val="nil"/>
              <w:bottom w:val="outset"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5.要求行政机关确认或重新出具已获取信息</w:t>
            </w:r>
          </w:p>
        </w:tc>
        <w:tc>
          <w:tcPr>
            <w:tcW w:w="688" w:type="dxa"/>
            <w:tcBorders>
              <w:top w:val="nil"/>
              <w:left w:val="nil"/>
              <w:bottom w:val="outset"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outset"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outset"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outset"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outset"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outset"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outset"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943" w:type="dxa"/>
            <w:vMerge w:val="restart"/>
            <w:tcBorders>
              <w:top w:val="nil"/>
              <w:left w:val="nil"/>
              <w:bottom w:val="outset"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（六）其他处理</w:t>
            </w: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943" w:type="dxa"/>
            <w:vMerge w:val="continue"/>
            <w:tcBorders>
              <w:top w:val="nil"/>
              <w:left w:val="nil"/>
              <w:bottom w:val="out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943" w:type="dxa"/>
            <w:vMerge w:val="continue"/>
            <w:tcBorders>
              <w:top w:val="nil"/>
              <w:left w:val="nil"/>
              <w:bottom w:val="out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3.其他</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bottom w:val="out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kern w:val="0"/>
                <w:sz w:val="21"/>
                <w:szCs w:val="21"/>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（七）总计</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四、结转下年度继续办理</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黑体" w:hAnsi="黑体" w:eastAsia="黑体" w:cs="黑体"/>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政府信息公开行政复议、行政诉讼情况</w:t>
      </w:r>
    </w:p>
    <w:tbl>
      <w:tblPr>
        <w:tblStyle w:val="4"/>
        <w:tblW w:w="9748" w:type="dxa"/>
        <w:jc w:val="center"/>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Layout w:type="autofit"/>
        <w:tblCellMar>
          <w:top w:w="15" w:type="dxa"/>
          <w:left w:w="15" w:type="dxa"/>
          <w:bottom w:w="15" w:type="dxa"/>
          <w:right w:w="15"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行政复议</w:t>
            </w:r>
          </w:p>
        </w:tc>
        <w:tc>
          <w:tcPr>
            <w:tcW w:w="6498"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行政诉讼</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结果维持</w:t>
            </w:r>
          </w:p>
        </w:tc>
        <w:tc>
          <w:tcPr>
            <w:tcW w:w="65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结果</w:t>
            </w:r>
            <w:r>
              <w:rPr>
                <w:rFonts w:ascii="Times New Roman" w:hAnsi="Times New Roman" w:eastAsia="宋体" w:cs="Times New Roman"/>
                <w:sz w:val="20"/>
                <w:szCs w:val="20"/>
                <w:lang w:val="en-US" w:eastAsia="zh-CN" w:bidi="ar-SA"/>
              </w:rPr>
              <w:br w:type="textWrapping"/>
            </w:r>
            <w:r>
              <w:rPr>
                <w:rFonts w:ascii="Times New Roman" w:hAnsi="Times New Roman" w:eastAsia="宋体" w:cs="Times New Roman"/>
                <w:sz w:val="20"/>
                <w:szCs w:val="20"/>
                <w:lang w:val="en-US" w:eastAsia="zh-CN" w:bidi="ar-SA"/>
              </w:rPr>
              <w:t>纠正</w:t>
            </w:r>
          </w:p>
        </w:tc>
        <w:tc>
          <w:tcPr>
            <w:tcW w:w="65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其他</w:t>
            </w:r>
            <w:r>
              <w:rPr>
                <w:rFonts w:ascii="Times New Roman" w:hAnsi="Times New Roman" w:eastAsia="宋体" w:cs="Times New Roman"/>
                <w:sz w:val="20"/>
                <w:szCs w:val="20"/>
                <w:lang w:val="en-US" w:eastAsia="zh-CN" w:bidi="ar-SA"/>
              </w:rPr>
              <w:br w:type="textWrapping"/>
            </w:r>
            <w:r>
              <w:rPr>
                <w:rFonts w:ascii="Times New Roman" w:hAnsi="Times New Roman" w:eastAsia="宋体" w:cs="Times New Roman"/>
                <w:sz w:val="20"/>
                <w:szCs w:val="20"/>
                <w:lang w:val="en-US" w:eastAsia="zh-CN" w:bidi="ar-SA"/>
              </w:rPr>
              <w:t>结果</w:t>
            </w:r>
          </w:p>
        </w:tc>
        <w:tc>
          <w:tcPr>
            <w:tcW w:w="65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尚未</w:t>
            </w:r>
            <w:r>
              <w:rPr>
                <w:rFonts w:ascii="Times New Roman" w:hAnsi="Times New Roman" w:eastAsia="宋体" w:cs="Times New Roman"/>
                <w:sz w:val="20"/>
                <w:szCs w:val="20"/>
                <w:lang w:val="en-US" w:eastAsia="zh-CN" w:bidi="ar-SA"/>
              </w:rPr>
              <w:br w:type="textWrapping"/>
            </w:r>
            <w:r>
              <w:rPr>
                <w:rFonts w:ascii="Times New Roman" w:hAnsi="Times New Roman" w:eastAsia="宋体" w:cs="Times New Roman"/>
                <w:sz w:val="20"/>
                <w:szCs w:val="20"/>
                <w:lang w:val="en-US" w:eastAsia="zh-CN" w:bidi="ar-SA"/>
              </w:rPr>
              <w:t>审结</w:t>
            </w:r>
          </w:p>
        </w:tc>
        <w:tc>
          <w:tcPr>
            <w:tcW w:w="65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总计</w:t>
            </w:r>
          </w:p>
        </w:tc>
        <w:tc>
          <w:tcPr>
            <w:tcW w:w="3248"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未经复议直接起诉</w:t>
            </w:r>
          </w:p>
        </w:tc>
        <w:tc>
          <w:tcPr>
            <w:tcW w:w="325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复议后起诉</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jc w:val="center"/>
        </w:trPr>
        <w:tc>
          <w:tcPr>
            <w:tcW w:w="65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1"/>
                <w:szCs w:val="21"/>
              </w:rPr>
            </w:pPr>
          </w:p>
        </w:tc>
        <w:tc>
          <w:tcPr>
            <w:tcW w:w="650"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1"/>
                <w:szCs w:val="21"/>
              </w:rPr>
            </w:pPr>
          </w:p>
        </w:tc>
        <w:tc>
          <w:tcPr>
            <w:tcW w:w="650"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1"/>
                <w:szCs w:val="21"/>
              </w:rPr>
            </w:pPr>
          </w:p>
        </w:tc>
        <w:tc>
          <w:tcPr>
            <w:tcW w:w="650"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1"/>
                <w:szCs w:val="21"/>
              </w:rPr>
            </w:pPr>
          </w:p>
        </w:tc>
        <w:tc>
          <w:tcPr>
            <w:tcW w:w="650"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1"/>
                <w:szCs w:val="21"/>
              </w:rPr>
            </w:pP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结果</w:t>
            </w:r>
            <w:r>
              <w:rPr>
                <w:rFonts w:ascii="Times New Roman" w:hAnsi="Times New Roman" w:eastAsia="宋体" w:cs="Times New Roman"/>
                <w:sz w:val="20"/>
                <w:szCs w:val="20"/>
                <w:lang w:val="en-US" w:eastAsia="zh-CN" w:bidi="ar-SA"/>
              </w:rPr>
              <w:br w:type="textWrapping"/>
            </w:r>
            <w:r>
              <w:rPr>
                <w:rFonts w:ascii="Times New Roman" w:hAnsi="Times New Roman" w:eastAsia="宋体" w:cs="Times New Roman"/>
                <w:sz w:val="20"/>
                <w:szCs w:val="20"/>
                <w:lang w:val="en-US" w:eastAsia="zh-CN" w:bidi="ar-SA"/>
              </w:rPr>
              <w:t>维持</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结果</w:t>
            </w:r>
            <w:r>
              <w:rPr>
                <w:rFonts w:ascii="Times New Roman" w:hAnsi="Times New Roman" w:eastAsia="宋体" w:cs="Times New Roman"/>
                <w:sz w:val="20"/>
                <w:szCs w:val="20"/>
                <w:lang w:val="en-US" w:eastAsia="zh-CN" w:bidi="ar-SA"/>
              </w:rPr>
              <w:br w:type="textWrapping"/>
            </w:r>
            <w:r>
              <w:rPr>
                <w:rFonts w:ascii="Times New Roman" w:hAnsi="Times New Roman" w:eastAsia="宋体" w:cs="Times New Roman"/>
                <w:sz w:val="20"/>
                <w:szCs w:val="20"/>
                <w:lang w:val="en-US" w:eastAsia="zh-CN" w:bidi="ar-SA"/>
              </w:rPr>
              <w:t>纠正</w:t>
            </w:r>
          </w:p>
        </w:tc>
        <w:tc>
          <w:tcPr>
            <w:tcW w:w="6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其他</w:t>
            </w:r>
            <w:r>
              <w:rPr>
                <w:rFonts w:ascii="Times New Roman" w:hAnsi="Times New Roman" w:eastAsia="宋体" w:cs="Times New Roman"/>
                <w:sz w:val="20"/>
                <w:szCs w:val="20"/>
                <w:lang w:val="en-US" w:eastAsia="zh-CN" w:bidi="ar-SA"/>
              </w:rPr>
              <w:br w:type="textWrapping"/>
            </w:r>
            <w:r>
              <w:rPr>
                <w:rFonts w:ascii="Times New Roman" w:hAnsi="Times New Roman" w:eastAsia="宋体" w:cs="Times New Roman"/>
                <w:sz w:val="20"/>
                <w:szCs w:val="20"/>
                <w:lang w:val="en-US" w:eastAsia="zh-CN" w:bidi="ar-SA"/>
              </w:rPr>
              <w:t>结果</w:t>
            </w:r>
          </w:p>
        </w:tc>
        <w:tc>
          <w:tcPr>
            <w:tcW w:w="6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尚未</w:t>
            </w:r>
            <w:r>
              <w:rPr>
                <w:rFonts w:ascii="Times New Roman" w:hAnsi="Times New Roman" w:eastAsia="宋体" w:cs="Times New Roman"/>
                <w:sz w:val="20"/>
                <w:szCs w:val="20"/>
                <w:lang w:val="en-US" w:eastAsia="zh-CN" w:bidi="ar-SA"/>
              </w:rPr>
              <w:br w:type="textWrapping"/>
            </w:r>
            <w:r>
              <w:rPr>
                <w:rFonts w:ascii="Times New Roman" w:hAnsi="Times New Roman" w:eastAsia="宋体" w:cs="Times New Roman"/>
                <w:sz w:val="20"/>
                <w:szCs w:val="20"/>
                <w:lang w:val="en-US" w:eastAsia="zh-CN" w:bidi="ar-SA"/>
              </w:rPr>
              <w:t>审结</w:t>
            </w:r>
          </w:p>
        </w:tc>
        <w:tc>
          <w:tcPr>
            <w:tcW w:w="6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总计</w:t>
            </w:r>
          </w:p>
        </w:tc>
        <w:tc>
          <w:tcPr>
            <w:tcW w:w="6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结果</w:t>
            </w:r>
            <w:r>
              <w:rPr>
                <w:rFonts w:ascii="Times New Roman" w:hAnsi="Times New Roman" w:eastAsia="宋体" w:cs="Times New Roman"/>
                <w:sz w:val="20"/>
                <w:szCs w:val="20"/>
                <w:lang w:val="en-US" w:eastAsia="zh-CN" w:bidi="ar-SA"/>
              </w:rPr>
              <w:br w:type="textWrapping"/>
            </w:r>
            <w:r>
              <w:rPr>
                <w:rFonts w:ascii="Times New Roman" w:hAnsi="Times New Roman" w:eastAsia="宋体" w:cs="Times New Roman"/>
                <w:sz w:val="20"/>
                <w:szCs w:val="20"/>
                <w:lang w:val="en-US" w:eastAsia="zh-CN" w:bidi="ar-SA"/>
              </w:rPr>
              <w:t>维持</w:t>
            </w:r>
          </w:p>
        </w:tc>
        <w:tc>
          <w:tcPr>
            <w:tcW w:w="6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结果</w:t>
            </w:r>
            <w:r>
              <w:rPr>
                <w:rFonts w:ascii="Times New Roman" w:hAnsi="Times New Roman" w:eastAsia="宋体" w:cs="Times New Roman"/>
                <w:sz w:val="20"/>
                <w:szCs w:val="20"/>
                <w:lang w:val="en-US" w:eastAsia="zh-CN" w:bidi="ar-SA"/>
              </w:rPr>
              <w:br w:type="textWrapping"/>
            </w:r>
            <w:r>
              <w:rPr>
                <w:rFonts w:ascii="Times New Roman" w:hAnsi="Times New Roman" w:eastAsia="宋体" w:cs="Times New Roman"/>
                <w:sz w:val="20"/>
                <w:szCs w:val="20"/>
                <w:lang w:val="en-US" w:eastAsia="zh-CN" w:bidi="ar-SA"/>
              </w:rPr>
              <w:t>纠正</w:t>
            </w:r>
          </w:p>
        </w:tc>
        <w:tc>
          <w:tcPr>
            <w:tcW w:w="6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其他</w:t>
            </w:r>
            <w:r>
              <w:rPr>
                <w:rFonts w:ascii="Times New Roman" w:hAnsi="Times New Roman" w:eastAsia="宋体" w:cs="Times New Roman"/>
                <w:sz w:val="20"/>
                <w:szCs w:val="20"/>
                <w:lang w:val="en-US" w:eastAsia="zh-CN" w:bidi="ar-SA"/>
              </w:rPr>
              <w:br w:type="textWrapping"/>
            </w:r>
            <w:r>
              <w:rPr>
                <w:rFonts w:ascii="Times New Roman" w:hAnsi="Times New Roman" w:eastAsia="宋体" w:cs="Times New Roman"/>
                <w:sz w:val="20"/>
                <w:szCs w:val="20"/>
                <w:lang w:val="en-US" w:eastAsia="zh-CN" w:bidi="ar-SA"/>
              </w:rPr>
              <w:t>结果</w:t>
            </w:r>
          </w:p>
        </w:tc>
        <w:tc>
          <w:tcPr>
            <w:tcW w:w="6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尚未</w:t>
            </w:r>
            <w:r>
              <w:rPr>
                <w:rFonts w:ascii="Times New Roman" w:hAnsi="Times New Roman" w:eastAsia="宋体" w:cs="Times New Roman"/>
                <w:sz w:val="20"/>
                <w:szCs w:val="20"/>
                <w:lang w:val="en-US" w:eastAsia="zh-CN" w:bidi="ar-SA"/>
              </w:rPr>
              <w:br w:type="textWrapping"/>
            </w:r>
            <w:r>
              <w:rPr>
                <w:rFonts w:ascii="Times New Roman" w:hAnsi="Times New Roman" w:eastAsia="宋体" w:cs="Times New Roman"/>
                <w:sz w:val="20"/>
                <w:szCs w:val="20"/>
                <w:lang w:val="en-US" w:eastAsia="zh-CN" w:bidi="ar-SA"/>
              </w:rPr>
              <w:t>审结</w:t>
            </w:r>
          </w:p>
        </w:tc>
        <w:tc>
          <w:tcPr>
            <w:tcW w:w="6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0"/>
                <w:szCs w:val="20"/>
                <w:lang w:val="en-US" w:eastAsia="zh-CN" w:bidi="ar-SA"/>
              </w:rPr>
              <w:t>总计</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0" w:beforeAutospacing="0" w:after="0" w:afterAutospacing="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sz w:val="20"/>
                <w:szCs w:val="20"/>
                <w:lang w:val="en-US" w:eastAsia="zh-CN" w:bidi="ar-SA"/>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黑体" w:hAnsi="黑体" w:eastAsia="黑体" w:cs="黑体"/>
          <w:sz w:val="32"/>
          <w:szCs w:val="32"/>
        </w:rPr>
      </w:pPr>
    </w:p>
    <w:bookmarkEnd w:id="1"/>
    <w:bookmarkEnd w:id="2"/>
    <w:bookmarkEnd w:id="3"/>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w:t>
      </w:r>
      <w:r>
        <w:rPr>
          <w:rFonts w:hint="default" w:ascii="黑体" w:hAnsi="黑体" w:eastAsia="黑体" w:cs="黑体"/>
          <w:sz w:val="32"/>
          <w:szCs w:val="32"/>
          <w:lang w:val="en-US" w:eastAsia="zh-CN"/>
        </w:rPr>
        <w:t>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仿宋_GB2312" w:hAnsi="仿宋_GB2312" w:eastAsia="仿宋_GB2312" w:cs="仿宋_GB2312"/>
          <w:spacing w:val="0"/>
          <w:kern w:val="0"/>
          <w:sz w:val="32"/>
          <w:szCs w:val="32"/>
          <w:lang w:val="en-US" w:eastAsia="zh-CN" w:bidi="ar"/>
        </w:rPr>
      </w:pPr>
      <w:r>
        <w:rPr>
          <w:rFonts w:hint="eastAsia" w:ascii="楷体_GB2312" w:hAnsi="楷体_GB2312" w:eastAsia="楷体_GB2312" w:cs="楷体_GB2312"/>
          <w:spacing w:val="0"/>
          <w:kern w:val="0"/>
          <w:sz w:val="32"/>
          <w:szCs w:val="32"/>
          <w:lang w:val="en-US" w:eastAsia="zh-CN" w:bidi="ar"/>
        </w:rPr>
        <w:t>（一）存在的主要问题。</w:t>
      </w:r>
      <w:r>
        <w:rPr>
          <w:rFonts w:hint="eastAsia" w:ascii="仿宋_GB2312" w:hAnsi="仿宋_GB2312" w:eastAsia="仿宋_GB2312" w:cs="仿宋_GB2312"/>
          <w:spacing w:val="0"/>
          <w:kern w:val="0"/>
          <w:sz w:val="32"/>
          <w:szCs w:val="32"/>
          <w:lang w:val="en-US" w:eastAsia="zh-CN" w:bidi="ar"/>
        </w:rPr>
        <w:t>2025年，我局政务公开工作主要问题有：</w:t>
      </w:r>
      <w:r>
        <w:rPr>
          <w:rFonts w:hint="eastAsia" w:ascii="仿宋_GB2312" w:hAnsi="仿宋_GB2312" w:eastAsia="仿宋_GB2312" w:cs="仿宋_GB2312"/>
          <w:b/>
          <w:bCs/>
          <w:spacing w:val="0"/>
          <w:kern w:val="0"/>
          <w:sz w:val="32"/>
          <w:szCs w:val="32"/>
          <w:lang w:val="en-US" w:eastAsia="zh-CN" w:bidi="ar"/>
        </w:rPr>
        <w:t>一是</w:t>
      </w:r>
      <w:r>
        <w:rPr>
          <w:rFonts w:hint="eastAsia" w:ascii="仿宋_GB2312" w:hAnsi="仿宋_GB2312" w:eastAsia="仿宋_GB2312" w:cs="仿宋_GB2312"/>
          <w:spacing w:val="0"/>
          <w:kern w:val="0"/>
          <w:sz w:val="32"/>
          <w:szCs w:val="32"/>
          <w:lang w:val="en-US" w:eastAsia="zh-CN" w:bidi="ar"/>
        </w:rPr>
        <w:t>公开内容深度不足。部分政策文件公开后，配套解读不够详实，通俗化、可视化解读形</w:t>
      </w:r>
      <w:r>
        <w:rPr>
          <w:rFonts w:hint="default" w:ascii="仿宋_GB2312" w:hAnsi="仿宋_GB2312" w:eastAsia="仿宋_GB2312" w:cs="仿宋_GB2312"/>
          <w:spacing w:val="0"/>
          <w:kern w:val="0"/>
          <w:sz w:val="32"/>
          <w:szCs w:val="32"/>
          <w:lang w:val="en-US" w:eastAsia="zh-CN" w:bidi="ar"/>
        </w:rPr>
        <w:t>式运用不足，退役军人及社会公众对政策的理解和把握存在难度；</w:t>
      </w:r>
      <w:r>
        <w:rPr>
          <w:rFonts w:hint="default" w:ascii="仿宋_GB2312" w:hAnsi="仿宋_GB2312" w:eastAsia="仿宋_GB2312" w:cs="仿宋_GB2312"/>
          <w:b/>
          <w:bCs/>
          <w:spacing w:val="0"/>
          <w:kern w:val="0"/>
          <w:sz w:val="32"/>
          <w:szCs w:val="32"/>
          <w:lang w:val="en-US" w:eastAsia="zh-CN" w:bidi="ar"/>
        </w:rPr>
        <w:t>二是</w:t>
      </w:r>
      <w:r>
        <w:rPr>
          <w:rFonts w:hint="default" w:ascii="仿宋_GB2312" w:hAnsi="仿宋_GB2312" w:eastAsia="仿宋_GB2312" w:cs="仿宋_GB2312"/>
          <w:spacing w:val="0"/>
          <w:kern w:val="0"/>
          <w:sz w:val="32"/>
          <w:szCs w:val="32"/>
          <w:lang w:val="en-US" w:eastAsia="zh-CN" w:bidi="ar"/>
        </w:rPr>
        <w:t>队伍建设仍需加强。部分科室工作人员对政府信息公开政策法规理解不够深入，主动公开意识不强，依申请公开办理规范化水平有待进一步提高。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仿宋_GB2312" w:hAnsi="仿宋_GB2312" w:eastAsia="仿宋_GB2312" w:cs="仿宋_GB2312"/>
          <w:spacing w:val="0"/>
          <w:kern w:val="0"/>
          <w:sz w:val="32"/>
          <w:szCs w:val="32"/>
          <w:lang w:val="en-US" w:eastAsia="zh-CN" w:bidi="ar"/>
        </w:rPr>
      </w:pPr>
      <w:r>
        <w:rPr>
          <w:rFonts w:hint="default" w:ascii="楷体_GB2312" w:hAnsi="楷体_GB2312" w:eastAsia="楷体_GB2312" w:cs="楷体_GB2312"/>
          <w:spacing w:val="0"/>
          <w:kern w:val="0"/>
          <w:sz w:val="32"/>
          <w:szCs w:val="32"/>
          <w:lang w:val="en-US" w:eastAsia="zh-CN" w:bidi="ar"/>
        </w:rPr>
        <w:t>（二）改进措施。</w:t>
      </w:r>
      <w:r>
        <w:rPr>
          <w:rFonts w:hint="default" w:ascii="仿宋_GB2312" w:hAnsi="仿宋_GB2312" w:eastAsia="仿宋_GB2312" w:cs="仿宋_GB2312"/>
          <w:b/>
          <w:bCs/>
          <w:spacing w:val="0"/>
          <w:kern w:val="0"/>
          <w:sz w:val="32"/>
          <w:szCs w:val="32"/>
          <w:lang w:val="en-US" w:eastAsia="zh-CN" w:bidi="ar"/>
        </w:rPr>
        <w:t>一是</w:t>
      </w:r>
      <w:r>
        <w:rPr>
          <w:rFonts w:hint="default" w:ascii="仿宋_GB2312" w:hAnsi="仿宋_GB2312" w:eastAsia="仿宋_GB2312" w:cs="仿宋_GB2312"/>
          <w:spacing w:val="0"/>
          <w:kern w:val="0"/>
          <w:sz w:val="32"/>
          <w:szCs w:val="32"/>
          <w:lang w:val="en-US" w:eastAsia="zh-CN" w:bidi="ar"/>
        </w:rPr>
        <w:t>深化公开内容建设。聚焦退役军人关切，增加政策解读深度，对重要政策文件采用“原文+图解+问答”形式进行全方位解读，制作政策解读短视频、动漫等可视化产品，提升政策传播效果；建立公开内容动态调整机制，定期梳理公开目录，补充完善就业创业、优抚安置等领域的重点信息，确保公开内容贴合实际需求</w:t>
      </w:r>
      <w:r>
        <w:rPr>
          <w:rFonts w:hint="eastAsia" w:ascii="仿宋_GB2312" w:hAnsi="仿宋_GB2312" w:eastAsia="仿宋_GB2312" w:cs="仿宋_GB2312"/>
          <w:spacing w:val="0"/>
          <w:kern w:val="0"/>
          <w:sz w:val="32"/>
          <w:szCs w:val="32"/>
          <w:lang w:val="en-US" w:eastAsia="zh-CN" w:bidi="ar"/>
        </w:rPr>
        <w:t>。</w:t>
      </w:r>
      <w:r>
        <w:rPr>
          <w:rFonts w:hint="default" w:ascii="仿宋_GB2312" w:hAnsi="仿宋_GB2312" w:eastAsia="仿宋_GB2312" w:cs="仿宋_GB2312"/>
          <w:b/>
          <w:bCs/>
          <w:spacing w:val="0"/>
          <w:kern w:val="0"/>
          <w:sz w:val="32"/>
          <w:szCs w:val="32"/>
          <w:lang w:val="en-US" w:eastAsia="zh-CN" w:bidi="ar"/>
        </w:rPr>
        <w:t>二是</w:t>
      </w:r>
      <w:r>
        <w:rPr>
          <w:rFonts w:hint="default" w:ascii="仿宋_GB2312" w:hAnsi="仿宋_GB2312" w:eastAsia="仿宋_GB2312" w:cs="仿宋_GB2312"/>
          <w:spacing w:val="0"/>
          <w:kern w:val="0"/>
          <w:sz w:val="32"/>
          <w:szCs w:val="32"/>
          <w:lang w:val="en-US" w:eastAsia="zh-CN" w:bidi="ar"/>
        </w:rPr>
        <w:t>强化队伍能力建设。开展政策法规、业务技能专题培训4次以上，邀请专家学者进行现场指导；建立“一对一”帮带机制，由办公室业务骨干对各科室信息公开联络员进行指导，提升工作人员主动公开意识和业务水平；完善考核激励机制，细化考核指标，对信息公开工作成效显著的科室和个人予以表彰，对工作不力的进行约谈提醒，压实工作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imes New Roman" w:hAnsi="Times New Roman" w:cs="Times New Roman"/>
        </w:rPr>
      </w:pPr>
      <w:r>
        <w:rPr>
          <w:rFonts w:hint="default" w:ascii="仿宋_GB2312" w:hAnsi="仿宋_GB2312" w:eastAsia="仿宋_GB2312" w:cs="仿宋_GB2312"/>
          <w:spacing w:val="0"/>
          <w:kern w:val="0"/>
          <w:sz w:val="32"/>
          <w:szCs w:val="32"/>
          <w:lang w:val="en-US" w:eastAsia="zh-CN" w:bidi="ar"/>
        </w:rPr>
        <w:t>我局按照《国务院办公厅关于印发〈政府信息公开信息处理费管理办法〉的通知》（国办函〔2020〕109号）、《安徽省财政厅 安徽省发展和改革委员会关于政府信息公开信息处理费有关事项的通知》（皖财综〔2021〕28号）文件规定的按件、按量收费标准，2025年度未收取政府信息公开信息处理费。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33A1C"/>
    <w:rsid w:val="0A655C74"/>
    <w:rsid w:val="10090F30"/>
    <w:rsid w:val="1461633E"/>
    <w:rsid w:val="155B2E86"/>
    <w:rsid w:val="23EB1312"/>
    <w:rsid w:val="33A53401"/>
    <w:rsid w:val="389604BF"/>
    <w:rsid w:val="39575833"/>
    <w:rsid w:val="3BE902E2"/>
    <w:rsid w:val="463E36AD"/>
    <w:rsid w:val="53BA0F30"/>
    <w:rsid w:val="6C28125A"/>
    <w:rsid w:val="76062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2705</Words>
  <Characters>2795</Characters>
  <Lines>0</Lines>
  <Paragraphs>0</Paragraphs>
  <TotalTime>2</TotalTime>
  <ScaleCrop>false</ScaleCrop>
  <LinksUpToDate>false</LinksUpToDate>
  <CharactersWithSpaces>2812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2025-01-20T04:34:00Z</dcterms:created>
  <dc:creator>Administrator</dc:creator>
  <cp:lastModifiedBy>李亚军</cp:lastModifiedBy>
  <dcterms:modified xsi:type="dcterms:W3CDTF">2026-01-29T08:24:03Z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